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260"/>
        <w:gridCol w:w="4528"/>
        <w:gridCol w:w="4112"/>
      </w:tblGrid>
      <w:tr w:rsidR="00DB3A18" w14:paraId="37F9546D" w14:textId="77777777" w:rsidTr="00E24E23">
        <w:trPr>
          <w:cantSplit/>
          <w:trHeight w:val="1450"/>
        </w:trPr>
        <w:tc>
          <w:tcPr>
            <w:tcW w:w="1260" w:type="dxa"/>
            <w:vAlign w:val="center"/>
          </w:tcPr>
          <w:p w14:paraId="522C996E" w14:textId="77777777" w:rsidR="00DB3A18" w:rsidRDefault="00DB3A18" w:rsidP="00E24E23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528" w:type="dxa"/>
            <w:vMerge w:val="restart"/>
          </w:tcPr>
          <w:p w14:paraId="1406E09D" w14:textId="77777777" w:rsidR="00DB3A18" w:rsidRDefault="00DB3A18" w:rsidP="00E24E23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object w:dxaOrig="2625" w:dyaOrig="2385" w14:anchorId="690056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673936998" r:id="rId6"/>
              </w:object>
            </w:r>
          </w:p>
          <w:p w14:paraId="66E39DBB" w14:textId="77777777" w:rsidR="00DB3A18" w:rsidRDefault="00DB3A18" w:rsidP="00E24E23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REPUBLIKA HRVATSKA</w:t>
            </w:r>
          </w:p>
          <w:p w14:paraId="4526FFB3" w14:textId="77777777" w:rsidR="00DB3A18" w:rsidRDefault="00DB3A18" w:rsidP="00E24E23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ZAGREBAČKA ŽUPANIJA</w:t>
            </w:r>
          </w:p>
          <w:p w14:paraId="042C5E08" w14:textId="77777777" w:rsidR="00DB3A18" w:rsidRDefault="00DB3A18" w:rsidP="00E24E23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GRAD SVETI IVAN ZELINA</w:t>
            </w:r>
          </w:p>
          <w:p w14:paraId="352010E1" w14:textId="77777777" w:rsidR="00DB3A18" w:rsidRDefault="00DB3A18" w:rsidP="00E24E23">
            <w:pPr>
              <w:pStyle w:val="Naslov1"/>
            </w:pPr>
            <w:r>
              <w:t xml:space="preserve">Upravni odjel za gospodarstvo, </w:t>
            </w:r>
            <w:bookmarkStart w:id="0" w:name="_Hlk530650074"/>
            <w:r>
              <w:t>stambeno-komunalne djelatnosti i zaštitu okoliša</w:t>
            </w:r>
            <w:bookmarkEnd w:id="0"/>
          </w:p>
          <w:p w14:paraId="2A345584" w14:textId="77777777" w:rsidR="00DB3A18" w:rsidRPr="00F308B6" w:rsidRDefault="00DB3A18" w:rsidP="00E24E23">
            <w:pPr>
              <w:jc w:val="center"/>
              <w:rPr>
                <w:b/>
              </w:rPr>
            </w:pPr>
          </w:p>
          <w:p w14:paraId="34C17143" w14:textId="77777777" w:rsidR="00DB3A18" w:rsidRDefault="00DB3A18" w:rsidP="00E24E23"/>
        </w:tc>
        <w:tc>
          <w:tcPr>
            <w:tcW w:w="4112" w:type="dxa"/>
            <w:vMerge w:val="restart"/>
          </w:tcPr>
          <w:p w14:paraId="7C22D5AD" w14:textId="77777777" w:rsidR="00DB3A18" w:rsidRDefault="00DB3A18" w:rsidP="00E24E23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5F6C52D8" w14:textId="77777777" w:rsidR="00DB3A18" w:rsidRDefault="00DB3A18" w:rsidP="00E24E23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59B31231" w14:textId="77777777" w:rsidR="00DB3A18" w:rsidRDefault="00DB3A18" w:rsidP="00E24E23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45CDC6F4" w14:textId="77777777" w:rsidR="00DB3A18" w:rsidRDefault="00DB3A18" w:rsidP="00E24E23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025660BA" w14:textId="77777777" w:rsidR="00DB3A18" w:rsidRDefault="00DB3A18" w:rsidP="00E24E23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46C96A21" w14:textId="77777777" w:rsidR="00DB3A18" w:rsidRDefault="00DB3A18" w:rsidP="00E24E23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DB3A18" w14:paraId="617B5B92" w14:textId="77777777" w:rsidTr="00E24E23">
        <w:trPr>
          <w:cantSplit/>
          <w:trHeight w:val="1450"/>
        </w:trPr>
        <w:tc>
          <w:tcPr>
            <w:tcW w:w="1260" w:type="dxa"/>
            <w:vAlign w:val="center"/>
          </w:tcPr>
          <w:p w14:paraId="73289B4F" w14:textId="4C03302D" w:rsidR="00DB3A18" w:rsidRDefault="00DB3A18" w:rsidP="00E24E23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drawing>
                <wp:inline distT="0" distB="0" distL="0" distR="0" wp14:anchorId="4D124D4E" wp14:editId="51A1ECB8">
                  <wp:extent cx="581025" cy="73342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8" w:type="dxa"/>
            <w:vMerge/>
            <w:vAlign w:val="center"/>
          </w:tcPr>
          <w:p w14:paraId="77DB0B00" w14:textId="77777777" w:rsidR="00DB3A18" w:rsidRDefault="00DB3A18" w:rsidP="00E24E23"/>
        </w:tc>
        <w:tc>
          <w:tcPr>
            <w:tcW w:w="4112" w:type="dxa"/>
            <w:vMerge/>
            <w:vAlign w:val="center"/>
          </w:tcPr>
          <w:p w14:paraId="2941EF05" w14:textId="77777777" w:rsidR="00DB3A18" w:rsidRDefault="00DB3A18" w:rsidP="00E24E23">
            <w:pPr>
              <w:rPr>
                <w:rFonts w:ascii="Arial" w:hAnsi="Arial"/>
                <w:b/>
                <w:sz w:val="22"/>
              </w:rPr>
            </w:pPr>
          </w:p>
        </w:tc>
      </w:tr>
    </w:tbl>
    <w:p w14:paraId="5474D830" w14:textId="2BD5E8CF" w:rsidR="00DB3A18" w:rsidRPr="00233097" w:rsidRDefault="00DB3A18" w:rsidP="00DB3A18">
      <w:pPr>
        <w:rPr>
          <w:rFonts w:ascii="Arial" w:hAnsi="Arial" w:cs="Arial"/>
        </w:rPr>
      </w:pPr>
      <w:r w:rsidRPr="00233097">
        <w:rPr>
          <w:rFonts w:ascii="Arial" w:hAnsi="Arial" w:cs="Arial"/>
        </w:rPr>
        <w:t xml:space="preserve">KLASA: </w:t>
      </w:r>
      <w:r w:rsidR="000363A3">
        <w:rPr>
          <w:rFonts w:ascii="Arial" w:hAnsi="Arial" w:cs="Arial"/>
        </w:rPr>
        <w:t>UP/I-</w:t>
      </w:r>
      <w:r w:rsidRPr="00233097">
        <w:rPr>
          <w:rFonts w:ascii="Arial" w:hAnsi="Arial" w:cs="Arial"/>
        </w:rPr>
        <w:t>363-04/</w:t>
      </w:r>
      <w:bookmarkStart w:id="1" w:name="_Hlk530649669"/>
      <w:r w:rsidRPr="00233097">
        <w:rPr>
          <w:rFonts w:ascii="Arial" w:hAnsi="Arial" w:cs="Arial"/>
        </w:rPr>
        <w:t xml:space="preserve">21-01/01                                   </w:t>
      </w:r>
      <w:bookmarkEnd w:id="1"/>
    </w:p>
    <w:p w14:paraId="219695B6" w14:textId="3C7C4C0D" w:rsidR="00DB3A18" w:rsidRPr="00233097" w:rsidRDefault="00DB3A18" w:rsidP="00DB3A18">
      <w:pPr>
        <w:rPr>
          <w:rFonts w:ascii="Arial" w:hAnsi="Arial" w:cs="Arial"/>
        </w:rPr>
      </w:pPr>
      <w:r w:rsidRPr="00233097">
        <w:rPr>
          <w:rFonts w:ascii="Arial" w:hAnsi="Arial" w:cs="Arial"/>
        </w:rPr>
        <w:t xml:space="preserve">URBROJ: 238/30-03/26-21-4                                           </w:t>
      </w:r>
    </w:p>
    <w:p w14:paraId="40F7B15B" w14:textId="28B60D9A" w:rsidR="00DB3A18" w:rsidRPr="00233097" w:rsidRDefault="00DB3A18" w:rsidP="00DB3A18">
      <w:pPr>
        <w:rPr>
          <w:rFonts w:ascii="Arial" w:hAnsi="Arial" w:cs="Arial"/>
        </w:rPr>
      </w:pPr>
      <w:r w:rsidRPr="00233097">
        <w:rPr>
          <w:rFonts w:ascii="Arial" w:hAnsi="Arial" w:cs="Arial"/>
        </w:rPr>
        <w:t xml:space="preserve">Sveti Ivan Zelina, </w:t>
      </w:r>
      <w:r w:rsidR="00291905">
        <w:rPr>
          <w:rFonts w:ascii="Arial" w:hAnsi="Arial" w:cs="Arial"/>
        </w:rPr>
        <w:t>4.</w:t>
      </w:r>
      <w:r w:rsidRPr="00233097">
        <w:rPr>
          <w:rFonts w:ascii="Arial" w:hAnsi="Arial" w:cs="Arial"/>
        </w:rPr>
        <w:t xml:space="preserve"> </w:t>
      </w:r>
      <w:r w:rsidR="00794C23">
        <w:rPr>
          <w:rFonts w:ascii="Arial" w:hAnsi="Arial" w:cs="Arial"/>
        </w:rPr>
        <w:t>veljače</w:t>
      </w:r>
      <w:r w:rsidRPr="00233097">
        <w:rPr>
          <w:rFonts w:ascii="Arial" w:hAnsi="Arial" w:cs="Arial"/>
        </w:rPr>
        <w:t xml:space="preserve"> 2021.</w:t>
      </w:r>
    </w:p>
    <w:p w14:paraId="53A7B3D8" w14:textId="77777777" w:rsidR="00DB3A18" w:rsidRDefault="00DB3A18" w:rsidP="00DB3A18">
      <w:pPr>
        <w:rPr>
          <w:sz w:val="24"/>
          <w:szCs w:val="24"/>
        </w:rPr>
      </w:pPr>
    </w:p>
    <w:p w14:paraId="31174DA2" w14:textId="660A0B14" w:rsidR="00DB3A18" w:rsidRDefault="00DB3A18" w:rsidP="00233097">
      <w:pPr>
        <w:jc w:val="both"/>
      </w:pPr>
    </w:p>
    <w:p w14:paraId="2A57E631" w14:textId="5CB5A562" w:rsidR="00DB3A18" w:rsidRDefault="00DB3A18" w:rsidP="002330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Komunalni redar Upravnog odjel za gospodarstvo, stambeno-komunalne djelatnosti i zaštitu okoliša Grada Sv. Ivana Zeline, na osnovi članka 8. Odluke o ustrojstvu i djelokrugu Gradske uprave Grada Svetog Ivana Zeline („Zelinske novine“, br. 7/10), </w:t>
      </w:r>
      <w:r w:rsidR="00233097">
        <w:rPr>
          <w:rFonts w:ascii="Arial" w:hAnsi="Arial" w:cs="Arial"/>
        </w:rPr>
        <w:t>članka 34. i članka 77. Zakona o općem upravnom postupku (Narodne novine, br. 47/09) (dalje u tekstu: ZUP), u upravnoj stvari ruševn</w:t>
      </w:r>
      <w:r w:rsidR="00AB4081">
        <w:rPr>
          <w:rFonts w:ascii="Arial" w:hAnsi="Arial" w:cs="Arial"/>
        </w:rPr>
        <w:t>e</w:t>
      </w:r>
      <w:r w:rsidR="00233097">
        <w:rPr>
          <w:rFonts w:ascii="Arial" w:hAnsi="Arial" w:cs="Arial"/>
        </w:rPr>
        <w:t xml:space="preserve"> zgrada u Donjem Psarjevu, k.č.br. </w:t>
      </w:r>
      <w:r w:rsidR="00C96212">
        <w:rPr>
          <w:rFonts w:ascii="Arial" w:hAnsi="Arial" w:cs="Arial"/>
        </w:rPr>
        <w:t>110</w:t>
      </w:r>
      <w:r w:rsidR="00233097">
        <w:rPr>
          <w:rFonts w:ascii="Arial" w:hAnsi="Arial" w:cs="Arial"/>
        </w:rPr>
        <w:t xml:space="preserve"> k.o. Psarjevo, radi uklanjanja ruševne zgrade, po službenoj dužnosti donosi,</w:t>
      </w:r>
    </w:p>
    <w:p w14:paraId="6D7302D5" w14:textId="70408D87" w:rsidR="00233097" w:rsidRDefault="00233097" w:rsidP="00233097">
      <w:pPr>
        <w:jc w:val="both"/>
        <w:rPr>
          <w:rFonts w:ascii="Arial" w:hAnsi="Arial" w:cs="Arial"/>
        </w:rPr>
      </w:pPr>
    </w:p>
    <w:p w14:paraId="77826076" w14:textId="332B4884" w:rsidR="00233097" w:rsidRDefault="00233097" w:rsidP="0023309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33097">
        <w:rPr>
          <w:rFonts w:ascii="Arial" w:hAnsi="Arial" w:cs="Arial"/>
          <w:b/>
          <w:bCs/>
          <w:sz w:val="22"/>
          <w:szCs w:val="22"/>
        </w:rPr>
        <w:t>ZAKLJUČAK</w:t>
      </w:r>
    </w:p>
    <w:p w14:paraId="313E5EA1" w14:textId="40C12280" w:rsidR="00233097" w:rsidRDefault="00233097" w:rsidP="00233097">
      <w:pPr>
        <w:rPr>
          <w:rFonts w:ascii="Arial" w:hAnsi="Arial" w:cs="Arial"/>
          <w:b/>
          <w:bCs/>
          <w:sz w:val="22"/>
          <w:szCs w:val="22"/>
        </w:rPr>
      </w:pPr>
    </w:p>
    <w:p w14:paraId="4C556470" w14:textId="3DD9FF63" w:rsidR="00233097" w:rsidRPr="001310F6" w:rsidRDefault="00233097" w:rsidP="001310F6">
      <w:pPr>
        <w:pStyle w:val="Odlomakpopisa"/>
        <w:numPr>
          <w:ilvl w:val="0"/>
          <w:numId w:val="1"/>
        </w:numPr>
        <w:jc w:val="both"/>
      </w:pPr>
      <w:r w:rsidRPr="001310F6">
        <w:rPr>
          <w:rFonts w:ascii="Arial" w:hAnsi="Arial" w:cs="Arial"/>
        </w:rPr>
        <w:t>Nepoznatim nasljednicima iza pokojnog Josipa Vrlec</w:t>
      </w:r>
      <w:r w:rsidR="001310F6" w:rsidRPr="001310F6">
        <w:rPr>
          <w:rFonts w:ascii="Arial" w:hAnsi="Arial" w:cs="Arial"/>
        </w:rPr>
        <w:t xml:space="preserve"> Đurinog, Donje Psarjevo 74 </w:t>
      </w:r>
      <w:r w:rsidR="001310F6" w:rsidRPr="001310F6">
        <w:rPr>
          <w:rFonts w:ascii="Arial" w:hAnsi="Arial" w:cs="Arial"/>
          <w:i/>
          <w:iCs/>
        </w:rPr>
        <w:t>(Donje Psarjevo 36</w:t>
      </w:r>
      <w:r w:rsidR="007F049F">
        <w:rPr>
          <w:rFonts w:ascii="Arial" w:hAnsi="Arial" w:cs="Arial"/>
          <w:i/>
          <w:iCs/>
        </w:rPr>
        <w:t xml:space="preserve"> u zemljišnim knjigama</w:t>
      </w:r>
      <w:r w:rsidR="001310F6" w:rsidRPr="001310F6">
        <w:rPr>
          <w:rFonts w:ascii="Arial" w:hAnsi="Arial" w:cs="Arial"/>
          <w:i/>
          <w:iCs/>
        </w:rPr>
        <w:t>)</w:t>
      </w:r>
      <w:r w:rsidR="001310F6">
        <w:rPr>
          <w:rFonts w:ascii="Arial" w:hAnsi="Arial" w:cs="Arial"/>
        </w:rPr>
        <w:t xml:space="preserve">, postavlja se privremeni zastupnik u osobi Andrea Grugan Šagud, odvjetnice iz Svetog Ivana Zeline, Trg Ante Starčevića 12/A, radi zaštite njihovih prava i interesa u upravnom postupku uklanjanja ruševne zgrade u Donjem Psarjevu, k.č.br. </w:t>
      </w:r>
      <w:r w:rsidR="00C96212">
        <w:rPr>
          <w:rFonts w:ascii="Arial" w:hAnsi="Arial" w:cs="Arial"/>
        </w:rPr>
        <w:t>110</w:t>
      </w:r>
      <w:r w:rsidR="001310F6">
        <w:rPr>
          <w:rFonts w:ascii="Arial" w:hAnsi="Arial" w:cs="Arial"/>
        </w:rPr>
        <w:t>, k.o. Psarjevo.</w:t>
      </w:r>
    </w:p>
    <w:p w14:paraId="4BC80D0F" w14:textId="668BDBDD" w:rsidR="001310F6" w:rsidRDefault="001310F6" w:rsidP="001310F6"/>
    <w:p w14:paraId="1E7EA566" w14:textId="7EE93C2C" w:rsidR="001310F6" w:rsidRPr="00141D44" w:rsidRDefault="001310F6" w:rsidP="001310F6">
      <w:pPr>
        <w:pStyle w:val="Odlomakpopisa"/>
        <w:numPr>
          <w:ilvl w:val="0"/>
          <w:numId w:val="1"/>
        </w:numPr>
        <w:jc w:val="both"/>
      </w:pPr>
      <w:r>
        <w:rPr>
          <w:rFonts w:ascii="Arial" w:hAnsi="Arial" w:cs="Arial"/>
        </w:rPr>
        <w:t xml:space="preserve">Postavljeni privremeni zastupnik iz točke 1. ovog Zaključka zastupat će stranke sve </w:t>
      </w:r>
      <w:r w:rsidRPr="00141D44">
        <w:rPr>
          <w:rFonts w:ascii="Arial" w:hAnsi="Arial" w:cs="Arial"/>
        </w:rPr>
        <w:t xml:space="preserve">dok </w:t>
      </w:r>
      <w:r w:rsidR="00141D44" w:rsidRPr="00141D44">
        <w:rPr>
          <w:rFonts w:ascii="Arial" w:hAnsi="Arial" w:cs="Arial"/>
        </w:rPr>
        <w:t>ne bude utvrđena osoba ovlaštena za zastupanje stranke, odnosno dok se ne obave radnje za koje je određen.</w:t>
      </w:r>
    </w:p>
    <w:p w14:paraId="05AB5CEF" w14:textId="41052C7D" w:rsidR="001310F6" w:rsidRDefault="001310F6" w:rsidP="001310F6"/>
    <w:p w14:paraId="7E889957" w14:textId="7E0D90ED" w:rsidR="001310F6" w:rsidRPr="00364B5D" w:rsidRDefault="001310F6" w:rsidP="001310F6">
      <w:pPr>
        <w:pStyle w:val="Odlomakpopisa"/>
        <w:numPr>
          <w:ilvl w:val="0"/>
          <w:numId w:val="1"/>
        </w:numPr>
        <w:jc w:val="both"/>
      </w:pPr>
      <w:r>
        <w:rPr>
          <w:rFonts w:ascii="Arial" w:hAnsi="Arial" w:cs="Arial"/>
        </w:rPr>
        <w:t>Poziva se privremeni zastupnik da se prihvati povjerene mu dužnosti te je u svemu savjesno i po zakonu obavlja.</w:t>
      </w:r>
    </w:p>
    <w:p w14:paraId="697DE0E3" w14:textId="6BA0B09E" w:rsidR="00364B5D" w:rsidRDefault="00364B5D" w:rsidP="00364B5D">
      <w:pPr>
        <w:jc w:val="both"/>
      </w:pPr>
    </w:p>
    <w:p w14:paraId="0EA495F6" w14:textId="0ADBEA35" w:rsidR="00364B5D" w:rsidRPr="001310F6" w:rsidRDefault="00364B5D" w:rsidP="00364B5D">
      <w:pPr>
        <w:pStyle w:val="Odlomakpopisa"/>
        <w:numPr>
          <w:ilvl w:val="0"/>
          <w:numId w:val="1"/>
        </w:numPr>
        <w:jc w:val="both"/>
      </w:pPr>
      <w:r>
        <w:rPr>
          <w:rFonts w:ascii="Arial" w:hAnsi="Arial" w:cs="Arial"/>
        </w:rPr>
        <w:t>Ovaj Zaključak objavit će se u „Zelinskim novinama“, službenom glasilu Grada Svetog Ivana Zeline,  na oglasnoj ploči te internetskoj stranici Grada Svetog Ivana Zeline.</w:t>
      </w:r>
    </w:p>
    <w:p w14:paraId="44BD7A52" w14:textId="2C2BDC76" w:rsidR="001310F6" w:rsidRDefault="001310F6" w:rsidP="001310F6">
      <w:pPr>
        <w:jc w:val="both"/>
      </w:pPr>
    </w:p>
    <w:p w14:paraId="29B56D37" w14:textId="302BA25C" w:rsidR="001310F6" w:rsidRDefault="001310F6" w:rsidP="001310F6">
      <w:pPr>
        <w:jc w:val="both"/>
      </w:pPr>
    </w:p>
    <w:p w14:paraId="150072EC" w14:textId="17DF84AB" w:rsidR="001310F6" w:rsidRDefault="001310F6" w:rsidP="001310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310F6">
        <w:rPr>
          <w:rFonts w:ascii="Arial" w:hAnsi="Arial" w:cs="Arial"/>
          <w:b/>
          <w:bCs/>
          <w:sz w:val="22"/>
          <w:szCs w:val="22"/>
        </w:rPr>
        <w:t>Obrazloženje</w:t>
      </w:r>
    </w:p>
    <w:p w14:paraId="4CE21AE7" w14:textId="192EE617" w:rsidR="001310F6" w:rsidRDefault="001310F6" w:rsidP="001310F6">
      <w:pPr>
        <w:rPr>
          <w:rFonts w:ascii="Arial" w:hAnsi="Arial" w:cs="Arial"/>
          <w:b/>
          <w:bCs/>
          <w:sz w:val="22"/>
          <w:szCs w:val="22"/>
        </w:rPr>
      </w:pPr>
    </w:p>
    <w:p w14:paraId="373DAF7C" w14:textId="71B4F6A3" w:rsidR="001310F6" w:rsidRDefault="001310F6" w:rsidP="00AB4081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>Komunalni redar Upravnog odjel za gospodarstvo, stambeno-komunalne djelatnosti i zaštitu okoliša Grada Svetog Ivana Zeline zaprimio je više prijava građana o ruševnoj zgradi na adresi Donje Psarjevo 74, k.č.br.</w:t>
      </w:r>
      <w:r w:rsidR="00C96212">
        <w:rPr>
          <w:rFonts w:ascii="Arial" w:hAnsi="Arial" w:cs="Arial"/>
        </w:rPr>
        <w:t xml:space="preserve"> 110</w:t>
      </w:r>
      <w:r>
        <w:rPr>
          <w:rFonts w:ascii="Arial" w:hAnsi="Arial" w:cs="Arial"/>
        </w:rPr>
        <w:t xml:space="preserve"> </w:t>
      </w:r>
      <w:r w:rsidR="00C96212">
        <w:rPr>
          <w:rFonts w:ascii="Arial" w:hAnsi="Arial" w:cs="Arial"/>
        </w:rPr>
        <w:t>k.o. Psarjevo,</w:t>
      </w:r>
      <w:r>
        <w:rPr>
          <w:rFonts w:ascii="Arial" w:hAnsi="Arial" w:cs="Arial"/>
        </w:rPr>
        <w:t xml:space="preserve"> a koja se nalazi uz javno prometnu površinu</w:t>
      </w:r>
      <w:r w:rsidR="00C96212">
        <w:rPr>
          <w:rFonts w:ascii="Arial" w:hAnsi="Arial" w:cs="Arial"/>
        </w:rPr>
        <w:t xml:space="preserve"> te svojim stanjem ugrožava ljude i imovinu.</w:t>
      </w:r>
    </w:p>
    <w:p w14:paraId="4666C473" w14:textId="6F8B45B8" w:rsidR="00C96212" w:rsidRDefault="00C96212" w:rsidP="00AB4081">
      <w:pPr>
        <w:jc w:val="both"/>
        <w:rPr>
          <w:rFonts w:ascii="Arial" w:hAnsi="Arial" w:cs="Arial"/>
        </w:rPr>
      </w:pPr>
    </w:p>
    <w:p w14:paraId="4CFE8ACB" w14:textId="37801486" w:rsidR="00C96212" w:rsidRDefault="00C96212" w:rsidP="00AB40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Dana 19. siječnja 2021. godine izvršen je očevid na licu mjesta te je utvrđeno da je </w:t>
      </w:r>
      <w:r w:rsidR="00D34A83">
        <w:rPr>
          <w:rFonts w:ascii="Arial" w:hAnsi="Arial" w:cs="Arial"/>
        </w:rPr>
        <w:t>predmetna drvena nekretnina u ruševnom stanju, dijelom urušena, a kameni temelji su u vrlo lošem stanju koji su se dijelom urušili na javno prometnu površinu. S predmetne nekretnine također otpadaju crijepovi. Nadalje, cijela je nekretnina nagnuta na javno prometu površinu čime ugrožava život i zdravlje ljudi i imovinu veće vrijednosti.</w:t>
      </w:r>
    </w:p>
    <w:p w14:paraId="47A01F43" w14:textId="64DC2B39" w:rsidR="00D34A83" w:rsidRDefault="00D34A83" w:rsidP="001310F6">
      <w:pPr>
        <w:rPr>
          <w:rFonts w:ascii="Arial" w:hAnsi="Arial" w:cs="Arial"/>
        </w:rPr>
      </w:pPr>
    </w:p>
    <w:p w14:paraId="6D731A66" w14:textId="507A6C87" w:rsidR="00D34A83" w:rsidRDefault="00D34A83" w:rsidP="001310F6">
      <w:pPr>
        <w:rPr>
          <w:rFonts w:ascii="Arial" w:hAnsi="Arial" w:cs="Arial"/>
        </w:rPr>
      </w:pPr>
      <w:r>
        <w:rPr>
          <w:rFonts w:ascii="Arial" w:hAnsi="Arial" w:cs="Arial"/>
        </w:rPr>
        <w:tab/>
        <w:t>U ispitnom postupku utvrđeno je:</w:t>
      </w:r>
    </w:p>
    <w:p w14:paraId="0B370434" w14:textId="518963C7" w:rsidR="00D34A83" w:rsidRDefault="00D34A83" w:rsidP="00AB4081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-da je </w:t>
      </w:r>
      <w:r w:rsidR="00AB4081">
        <w:rPr>
          <w:rFonts w:ascii="Arial" w:hAnsi="Arial" w:cs="Arial"/>
        </w:rPr>
        <w:t xml:space="preserve">zemljišnoknjižni </w:t>
      </w:r>
      <w:r>
        <w:rPr>
          <w:rFonts w:ascii="Arial" w:hAnsi="Arial" w:cs="Arial"/>
        </w:rPr>
        <w:t>vlasnik predmetne nekretnine Josip Vrlec Đurin, rođen dana 19.05.1920., a umro dana 23.03.1992. godine (dokaz: smrtni list);</w:t>
      </w:r>
    </w:p>
    <w:p w14:paraId="0BEE364A" w14:textId="07BD42AE" w:rsidR="00D34A83" w:rsidRDefault="00D34A83" w:rsidP="00AB4081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-da je pokojnik imao suprugu </w:t>
      </w:r>
      <w:r w:rsidR="007F049F">
        <w:rPr>
          <w:rFonts w:ascii="Arial" w:hAnsi="Arial" w:cs="Arial"/>
        </w:rPr>
        <w:t>Slavicu (Alojziju)</w:t>
      </w:r>
      <w:r>
        <w:rPr>
          <w:rFonts w:ascii="Arial" w:hAnsi="Arial" w:cs="Arial"/>
        </w:rPr>
        <w:t xml:space="preserve"> Vrlec Švec, rođenu dana 27.11.1920., a umrlu dana 17.12.2007. godine (dokaz: smrtni list);</w:t>
      </w:r>
    </w:p>
    <w:p w14:paraId="60F82201" w14:textId="1EF2D637" w:rsidR="00D34A83" w:rsidRDefault="00D34A83" w:rsidP="00AB4081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21B87">
        <w:rPr>
          <w:rFonts w:ascii="Arial" w:hAnsi="Arial" w:cs="Arial"/>
        </w:rPr>
        <w:t>da ostavinski postupak iza pok. Josipa Vrlec i pok. Slavice</w:t>
      </w:r>
      <w:r w:rsidR="007F049F">
        <w:rPr>
          <w:rFonts w:ascii="Arial" w:hAnsi="Arial" w:cs="Arial"/>
        </w:rPr>
        <w:t xml:space="preserve"> (Alojzije)</w:t>
      </w:r>
      <w:r w:rsidR="00321B87">
        <w:rPr>
          <w:rFonts w:ascii="Arial" w:hAnsi="Arial" w:cs="Arial"/>
        </w:rPr>
        <w:t xml:space="preserve"> Vrlec Švec</w:t>
      </w:r>
      <w:r w:rsidR="00364B5D">
        <w:rPr>
          <w:rFonts w:ascii="Arial" w:hAnsi="Arial" w:cs="Arial"/>
        </w:rPr>
        <w:t xml:space="preserve"> nije pravomoćno okončan, odnosno oba postupka su u prekidu.</w:t>
      </w:r>
    </w:p>
    <w:p w14:paraId="0B460CE2" w14:textId="1EC5AE00" w:rsidR="00364B5D" w:rsidRDefault="00364B5D" w:rsidP="00AB408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Kako se radi o neuređenoj, neodržavanoj i zapuštenoj  parceli na kojoj se nalazi ruševna zgrada koja svojim stanjem ugrožava život i zdravlje ljudi i imovinu veće vrijednosti te je potrebno obaviti sve potrebne radnje radi čišćenja, odnosno uklanjanja predmetne nekretnine, radi zaštite prava i interesa stranaka valjalo je sukladno čl. 34</w:t>
      </w:r>
      <w:r w:rsidR="00AB408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ZUP-a odrediti privremenog zastupnika.</w:t>
      </w:r>
    </w:p>
    <w:p w14:paraId="0A48E088" w14:textId="4E1EE061" w:rsidR="00364B5D" w:rsidRDefault="00364B5D" w:rsidP="00AB4081">
      <w:pPr>
        <w:jc w:val="both"/>
        <w:rPr>
          <w:rFonts w:ascii="Arial" w:hAnsi="Arial" w:cs="Arial"/>
        </w:rPr>
      </w:pPr>
    </w:p>
    <w:p w14:paraId="1192D836" w14:textId="55ECB1B4" w:rsidR="00141D44" w:rsidRDefault="00141D44" w:rsidP="00AB40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Točka 3. Zaključka temelji se na čl. 34. st. 5. ZUP-a.</w:t>
      </w:r>
    </w:p>
    <w:p w14:paraId="746A3369" w14:textId="77777777" w:rsidR="00141D44" w:rsidRDefault="00141D44" w:rsidP="00AB4081">
      <w:pPr>
        <w:jc w:val="both"/>
        <w:rPr>
          <w:rFonts w:ascii="Arial" w:hAnsi="Arial" w:cs="Arial"/>
        </w:rPr>
      </w:pPr>
    </w:p>
    <w:p w14:paraId="5EEE1D58" w14:textId="29432800" w:rsidR="00364B5D" w:rsidRDefault="00364B5D" w:rsidP="00AB40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Točka 4. Zaključka temelji se na čl. 34. st. 3. ZUP-a.</w:t>
      </w:r>
    </w:p>
    <w:p w14:paraId="10624E5C" w14:textId="2664E867" w:rsidR="00141D44" w:rsidRDefault="00141D44" w:rsidP="00AB4081">
      <w:pPr>
        <w:jc w:val="both"/>
        <w:rPr>
          <w:rFonts w:ascii="Arial" w:hAnsi="Arial" w:cs="Arial"/>
        </w:rPr>
      </w:pPr>
    </w:p>
    <w:p w14:paraId="08348E1D" w14:textId="4CA40FA3" w:rsidR="00141D44" w:rsidRDefault="00141D44" w:rsidP="00AB40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Slijedom navedenog, odlučeno je kao u izreci.</w:t>
      </w:r>
    </w:p>
    <w:p w14:paraId="4CF8B7BB" w14:textId="7CAD60C3" w:rsidR="00141D44" w:rsidRDefault="00141D44" w:rsidP="00364B5D">
      <w:pPr>
        <w:rPr>
          <w:rFonts w:ascii="Arial" w:hAnsi="Arial" w:cs="Arial"/>
        </w:rPr>
      </w:pPr>
    </w:p>
    <w:p w14:paraId="43B017BD" w14:textId="77777777" w:rsidR="00141D44" w:rsidRPr="00141D44" w:rsidRDefault="00141D44" w:rsidP="00141D44">
      <w:pPr>
        <w:pStyle w:val="t-9-8"/>
        <w:spacing w:before="0" w:beforeAutospacing="0" w:after="200" w:afterAutospacing="0" w:line="276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141D44">
        <w:rPr>
          <w:rFonts w:ascii="Arial" w:hAnsi="Arial" w:cs="Arial"/>
          <w:b/>
          <w:sz w:val="22"/>
          <w:szCs w:val="22"/>
        </w:rPr>
        <w:t>Uputa o pravnom lijeku:</w:t>
      </w:r>
    </w:p>
    <w:p w14:paraId="558B816E" w14:textId="77777777" w:rsidR="00141D44" w:rsidRPr="00141D44" w:rsidRDefault="00141D44" w:rsidP="00141D44">
      <w:pPr>
        <w:pStyle w:val="t-9-8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0"/>
          <w:szCs w:val="20"/>
        </w:rPr>
      </w:pPr>
      <w:r w:rsidRPr="00141D44">
        <w:rPr>
          <w:rFonts w:ascii="Arial" w:hAnsi="Arial" w:cs="Arial"/>
          <w:sz w:val="20"/>
          <w:szCs w:val="20"/>
        </w:rPr>
        <w:t xml:space="preserve">Protiv ovog zaključka ne može se izjaviti žalba. Zaključak se može pobijati samo žalbom protiv rješenja kojim se rješava o istoj upravnoj stvari.  </w:t>
      </w:r>
    </w:p>
    <w:p w14:paraId="22662542" w14:textId="0515F4D8" w:rsidR="00141D44" w:rsidRDefault="00141D44" w:rsidP="00364B5D">
      <w:pPr>
        <w:rPr>
          <w:rFonts w:ascii="Arial" w:hAnsi="Arial" w:cs="Arial"/>
        </w:rPr>
      </w:pPr>
    </w:p>
    <w:p w14:paraId="365EC4EE" w14:textId="6CB5BCB8" w:rsidR="00141D44" w:rsidRDefault="00141D44" w:rsidP="00364B5D">
      <w:pPr>
        <w:rPr>
          <w:rFonts w:ascii="Arial" w:hAnsi="Arial" w:cs="Arial"/>
        </w:rPr>
      </w:pPr>
    </w:p>
    <w:p w14:paraId="1315CC04" w14:textId="464081F4" w:rsidR="00141D44" w:rsidRDefault="00141D44" w:rsidP="00364B5D">
      <w:pPr>
        <w:rPr>
          <w:rFonts w:ascii="Arial" w:hAnsi="Arial" w:cs="Arial"/>
        </w:rPr>
      </w:pPr>
    </w:p>
    <w:tbl>
      <w:tblPr>
        <w:tblStyle w:val="Reetkatablice"/>
        <w:tblpPr w:leftFromText="180" w:rightFromText="180" w:vertAnchor="text" w:horzAnchor="margin" w:tblpXSpec="right" w:tblpY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4"/>
      </w:tblGrid>
      <w:tr w:rsidR="00141D44" w14:paraId="61E2D058" w14:textId="77777777" w:rsidTr="00141D44">
        <w:tc>
          <w:tcPr>
            <w:tcW w:w="2404" w:type="dxa"/>
          </w:tcPr>
          <w:p w14:paraId="7A95DA40" w14:textId="77777777" w:rsidR="00141D44" w:rsidRPr="00141D44" w:rsidRDefault="00141D44" w:rsidP="00141D44">
            <w:pPr>
              <w:jc w:val="center"/>
              <w:rPr>
                <w:rFonts w:ascii="Arial" w:hAnsi="Arial" w:cs="Arial"/>
                <w:b/>
                <w:bCs/>
              </w:rPr>
            </w:pPr>
            <w:r w:rsidRPr="00141D44">
              <w:rPr>
                <w:rFonts w:ascii="Arial" w:hAnsi="Arial" w:cs="Arial"/>
                <w:b/>
                <w:bCs/>
              </w:rPr>
              <w:t>KOMUNALNI REDAR:</w:t>
            </w:r>
          </w:p>
        </w:tc>
      </w:tr>
      <w:tr w:rsidR="00141D44" w14:paraId="527C4AC3" w14:textId="77777777" w:rsidTr="00141D44">
        <w:tc>
          <w:tcPr>
            <w:tcW w:w="2404" w:type="dxa"/>
          </w:tcPr>
          <w:p w14:paraId="555FACFD" w14:textId="77777777" w:rsidR="00141D44" w:rsidRPr="00141D44" w:rsidRDefault="00141D44" w:rsidP="00141D44">
            <w:pPr>
              <w:jc w:val="center"/>
              <w:rPr>
                <w:rFonts w:ascii="Arial" w:hAnsi="Arial" w:cs="Arial"/>
                <w:b/>
                <w:bCs/>
              </w:rPr>
            </w:pPr>
            <w:r w:rsidRPr="00141D44">
              <w:rPr>
                <w:rFonts w:ascii="Arial" w:hAnsi="Arial" w:cs="Arial"/>
                <w:b/>
                <w:bCs/>
              </w:rPr>
              <w:t>Davor Belošić</w:t>
            </w:r>
          </w:p>
        </w:tc>
      </w:tr>
    </w:tbl>
    <w:p w14:paraId="33C658F0" w14:textId="5B4ECD39" w:rsidR="00141D44" w:rsidRDefault="00141D44" w:rsidP="00364B5D">
      <w:pPr>
        <w:rPr>
          <w:rFonts w:ascii="Arial" w:hAnsi="Arial" w:cs="Arial"/>
        </w:rPr>
      </w:pPr>
    </w:p>
    <w:p w14:paraId="7923DBF8" w14:textId="6FBAB83F" w:rsidR="00141D44" w:rsidRDefault="00141D44" w:rsidP="00364B5D">
      <w:pPr>
        <w:rPr>
          <w:rFonts w:ascii="Arial" w:hAnsi="Arial" w:cs="Arial"/>
        </w:rPr>
      </w:pPr>
    </w:p>
    <w:p w14:paraId="693B2C2A" w14:textId="77777777" w:rsidR="00141D44" w:rsidRPr="00141D44" w:rsidRDefault="00141D44" w:rsidP="00364B5D">
      <w:pPr>
        <w:rPr>
          <w:rFonts w:ascii="Arial" w:hAnsi="Arial" w:cs="Arial"/>
        </w:rPr>
      </w:pPr>
    </w:p>
    <w:p w14:paraId="65F65217" w14:textId="35B82BDA" w:rsidR="00C96212" w:rsidRDefault="00C96212" w:rsidP="001310F6">
      <w:pPr>
        <w:rPr>
          <w:rFonts w:ascii="Arial" w:hAnsi="Arial" w:cs="Arial"/>
        </w:rPr>
      </w:pPr>
    </w:p>
    <w:p w14:paraId="75770875" w14:textId="6E20F996" w:rsidR="00C96212" w:rsidRDefault="00C96212" w:rsidP="001310F6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CCF8E51" w14:textId="440D9AFE" w:rsidR="00141D44" w:rsidRDefault="00141D44" w:rsidP="00141D4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DOSTAVITI:</w:t>
      </w:r>
    </w:p>
    <w:p w14:paraId="58FFD84A" w14:textId="4DADA213" w:rsidR="00141D44" w:rsidRDefault="00141D44" w:rsidP="00141D44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Oglasna ploča Grada Svetog Ivana Zeline (za nepoznate nasljednike iza pok. Josipa Vrlec)</w:t>
      </w:r>
    </w:p>
    <w:p w14:paraId="192F9F8D" w14:textId="3E68DDF0" w:rsidR="00141D44" w:rsidRDefault="00141D44" w:rsidP="00141D44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Internetska stranica </w:t>
      </w:r>
      <w:hyperlink r:id="rId8" w:history="1">
        <w:r w:rsidRPr="00394FEB">
          <w:rPr>
            <w:rStyle w:val="Hiperveza"/>
            <w:rFonts w:ascii="Arial" w:hAnsi="Arial" w:cs="Arial"/>
          </w:rPr>
          <w:t>www.zelina.hr</w:t>
        </w:r>
      </w:hyperlink>
      <w:r>
        <w:rPr>
          <w:rFonts w:ascii="Arial" w:hAnsi="Arial" w:cs="Arial"/>
        </w:rPr>
        <w:t xml:space="preserve"> (za nepoznate nasljednike iza pok. Josipa Vrlec)</w:t>
      </w:r>
    </w:p>
    <w:p w14:paraId="5817111C" w14:textId="1956C118" w:rsidR="00141D44" w:rsidRDefault="00141D44" w:rsidP="00141D44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„Zelinske novine“ (za nepoznate nasljednike iza pok. Josipa Vrlec)</w:t>
      </w:r>
    </w:p>
    <w:p w14:paraId="303A7B54" w14:textId="7C15B398" w:rsidR="00141D44" w:rsidRDefault="00141D44" w:rsidP="00141D44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Odvjetnica Andrea Grugan Šagud, Trg Ante Starčevića 12/A, Sveti Ivan Zelina</w:t>
      </w:r>
    </w:p>
    <w:p w14:paraId="6797CC65" w14:textId="3AD976DB" w:rsidR="00141D44" w:rsidRPr="00141D44" w:rsidRDefault="00141D44" w:rsidP="00141D44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Spis predmeta, ovdje</w:t>
      </w:r>
    </w:p>
    <w:sectPr w:rsidR="00141D44" w:rsidRPr="00141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A7014"/>
    <w:multiLevelType w:val="hybridMultilevel"/>
    <w:tmpl w:val="B6320A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D3854"/>
    <w:multiLevelType w:val="hybridMultilevel"/>
    <w:tmpl w:val="5B368E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86ED4"/>
    <w:multiLevelType w:val="hybridMultilevel"/>
    <w:tmpl w:val="2DAC65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18"/>
    <w:rsid w:val="000363A3"/>
    <w:rsid w:val="001310F6"/>
    <w:rsid w:val="00141D44"/>
    <w:rsid w:val="00233097"/>
    <w:rsid w:val="00291905"/>
    <w:rsid w:val="00321B87"/>
    <w:rsid w:val="00364B5D"/>
    <w:rsid w:val="00794C23"/>
    <w:rsid w:val="007F049F"/>
    <w:rsid w:val="00A311F8"/>
    <w:rsid w:val="00AB4081"/>
    <w:rsid w:val="00C96212"/>
    <w:rsid w:val="00D34A83"/>
    <w:rsid w:val="00DB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F52A"/>
  <w15:chartTrackingRefBased/>
  <w15:docId w15:val="{B2CAAB78-102D-4235-B0AB-9785C0E5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B3A18"/>
    <w:pPr>
      <w:keepNext/>
      <w:jc w:val="center"/>
      <w:outlineLvl w:val="0"/>
    </w:pPr>
    <w:rPr>
      <w:rFonts w:ascii="Arial" w:hAnsi="Arial"/>
      <w:b/>
      <w:sz w:val="22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B3A18"/>
    <w:rPr>
      <w:rFonts w:ascii="Arial" w:eastAsia="Times New Roman" w:hAnsi="Arial" w:cs="Times New Roman"/>
      <w:b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233097"/>
    <w:pPr>
      <w:ind w:left="720"/>
      <w:contextualSpacing/>
    </w:pPr>
  </w:style>
  <w:style w:type="paragraph" w:customStyle="1" w:styleId="t-9-8">
    <w:name w:val="t-9-8"/>
    <w:basedOn w:val="Normal"/>
    <w:uiPriority w:val="99"/>
    <w:rsid w:val="00141D44"/>
    <w:pPr>
      <w:spacing w:before="100" w:beforeAutospacing="1" w:after="100" w:afterAutospacing="1"/>
    </w:pPr>
    <w:rPr>
      <w:sz w:val="24"/>
      <w:szCs w:val="24"/>
    </w:rPr>
  </w:style>
  <w:style w:type="table" w:styleId="Reetkatablice">
    <w:name w:val="Table Grid"/>
    <w:basedOn w:val="Obinatablica"/>
    <w:uiPriority w:val="39"/>
    <w:rsid w:val="00141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41D4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41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in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Ivana Koščec Jardas</cp:lastModifiedBy>
  <cp:revision>6</cp:revision>
  <cp:lastPrinted>2021-02-04T08:41:00Z</cp:lastPrinted>
  <dcterms:created xsi:type="dcterms:W3CDTF">2021-02-03T07:32:00Z</dcterms:created>
  <dcterms:modified xsi:type="dcterms:W3CDTF">2021-02-04T08:44:00Z</dcterms:modified>
</cp:coreProperties>
</file>